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jc w:val="center"/>
        <w:rPr>
          <w:rFonts w:ascii="Limelight" w:cs="Limelight" w:eastAsia="Limelight" w:hAnsi="Limelight"/>
          <w:b w:val="1"/>
          <w:sz w:val="32"/>
          <w:szCs w:val="32"/>
        </w:rPr>
      </w:pPr>
      <w:r w:rsidDel="00000000" w:rsidR="00000000" w:rsidRPr="00000000">
        <w:fldChar w:fldCharType="begin"/>
        <w:instrText xml:space="preserve"> HYPERLINK "https://blog.prepscholar.com/10th-grade-college-planning" </w:instrText>
        <w:fldChar w:fldCharType="separate"/>
      </w:r>
      <w:r w:rsidDel="00000000" w:rsidR="00000000" w:rsidRPr="00000000">
        <w:rPr>
          <w:rFonts w:ascii="Limelight" w:cs="Limelight" w:eastAsia="Limelight" w:hAnsi="Limelight"/>
          <w:b w:val="1"/>
          <w:sz w:val="32"/>
          <w:szCs w:val="32"/>
          <w:rtl w:val="0"/>
        </w:rPr>
        <w:t xml:space="preserve">11th Grade Planning</w:t>
      </w:r>
    </w:p>
    <w:p w:rsidR="00000000" w:rsidDel="00000000" w:rsidP="00000000" w:rsidRDefault="00000000" w:rsidRPr="00000000" w14:paraId="00000003">
      <w:pPr>
        <w:pageBreakBefore w:val="0"/>
        <w:rPr>
          <w:rFonts w:ascii="Times New Roman" w:cs="Times New Roman" w:eastAsia="Times New Roman" w:hAnsi="Times New Roman"/>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Take Advanced Placement Classes</w:t>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pageBreakBefore w:val="0"/>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 classes are college-level courses that you can take while you’re still in high school. If you score well on your end-of-year AP exams, you can even sometimes receive college credit or advanced standing.</w:t>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  </w:t>
      </w:r>
      <w:hyperlink r:id="rId6">
        <w:r w:rsidDel="00000000" w:rsidR="00000000" w:rsidRPr="00000000">
          <w:rPr>
            <w:rFonts w:ascii="Times New Roman" w:cs="Times New Roman" w:eastAsia="Times New Roman" w:hAnsi="Times New Roman"/>
            <w:b w:val="1"/>
            <w:sz w:val="28"/>
            <w:szCs w:val="28"/>
            <w:rtl w:val="0"/>
          </w:rPr>
          <w:t xml:space="preserve">Quizlet</w:t>
        </w:r>
      </w:hyperlink>
      <w:r w:rsidDel="00000000" w:rsidR="00000000" w:rsidRPr="00000000">
        <w:rPr>
          <w:rtl w:val="0"/>
        </w:rPr>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pageBreakBefore w:val="0"/>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Quizlet is essentially a database of online study sets created and used by students just like you. You can create your own online flashcards or search for sets already created. </w:t>
      </w:r>
    </w:p>
    <w:p w:rsidR="00000000" w:rsidDel="00000000" w:rsidP="00000000" w:rsidRDefault="00000000" w:rsidRPr="00000000" w14:paraId="0000000C">
      <w:pPr>
        <w:pageBreakBefore w:val="0"/>
        <w:numPr>
          <w:ilvl w:val="0"/>
          <w:numId w:val="9"/>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careful though, these quizzes are all created by students just like you, so there could be errors present. Carefully review any set of quiz questions before using them to study.</w:t>
      </w:r>
      <w:r w:rsidDel="00000000" w:rsidR="00000000" w:rsidRPr="00000000">
        <w:rPr>
          <w:rtl w:val="0"/>
        </w:rPr>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F">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w:t>
      </w:r>
      <w:hyperlink r:id="rId7">
        <w:r w:rsidDel="00000000" w:rsidR="00000000" w:rsidRPr="00000000">
          <w:rPr>
            <w:rFonts w:ascii="Times New Roman" w:cs="Times New Roman" w:eastAsia="Times New Roman" w:hAnsi="Times New Roman"/>
            <w:b w:val="1"/>
            <w:sz w:val="28"/>
            <w:szCs w:val="28"/>
            <w:rtl w:val="0"/>
          </w:rPr>
          <w:t xml:space="preserve">ACT</w:t>
        </w:r>
      </w:hyperlink>
      <w:r w:rsidDel="00000000" w:rsidR="00000000" w:rsidRPr="00000000">
        <w:rPr>
          <w:rFonts w:ascii="Times New Roman" w:cs="Times New Roman" w:eastAsia="Times New Roman" w:hAnsi="Times New Roman"/>
          <w:b w:val="1"/>
          <w:sz w:val="28"/>
          <w:szCs w:val="28"/>
          <w:rtl w:val="0"/>
        </w:rPr>
        <w:t xml:space="preserve"> or </w:t>
      </w:r>
      <w:hyperlink r:id="rId8">
        <w:r w:rsidDel="00000000" w:rsidR="00000000" w:rsidRPr="00000000">
          <w:rPr>
            <w:rFonts w:ascii="Times New Roman" w:cs="Times New Roman" w:eastAsia="Times New Roman" w:hAnsi="Times New Roman"/>
            <w:b w:val="1"/>
            <w:sz w:val="28"/>
            <w:szCs w:val="28"/>
            <w:rtl w:val="0"/>
          </w:rPr>
          <w:t xml:space="preserve">SAT Official Test Websites</w:t>
        </w:r>
      </w:hyperlink>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logical place to start preparing for your standardized test is through the official test website. These sites provide everything from content overviews to official practice strategies. </w:t>
      </w:r>
    </w:p>
    <w:p w:rsidR="00000000" w:rsidDel="00000000" w:rsidP="00000000" w:rsidRDefault="00000000" w:rsidRPr="00000000" w14:paraId="00000012">
      <w:pPr>
        <w:pageBreakBefore w:val="0"/>
        <w:numPr>
          <w:ilvl w:val="0"/>
          <w:numId w:val="17"/>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also create an online user account to register for tests and to access and send your score reports.</w:t>
      </w:r>
    </w:p>
    <w:p w:rsidR="00000000" w:rsidDel="00000000" w:rsidP="00000000" w:rsidRDefault="00000000" w:rsidRPr="00000000" w14:paraId="00000013">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w:t>
      </w:r>
      <w:hyperlink r:id="rId9">
        <w:r w:rsidDel="00000000" w:rsidR="00000000" w:rsidRPr="00000000">
          <w:rPr>
            <w:rFonts w:ascii="Times New Roman" w:cs="Times New Roman" w:eastAsia="Times New Roman" w:hAnsi="Times New Roman"/>
            <w:b w:val="1"/>
            <w:sz w:val="28"/>
            <w:szCs w:val="28"/>
            <w:rtl w:val="0"/>
          </w:rPr>
          <w:t xml:space="preserve">Khan Academy</w:t>
        </w:r>
      </w:hyperlink>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you’re taking the SAT, Khan Academy will become an invaluable resource for you. This online learning hub is the official training partner of the SAT and it provides video tutorials, practice tests, sample questions, and strategy tips. </w:t>
      </w:r>
    </w:p>
    <w:p w:rsidR="00000000" w:rsidDel="00000000" w:rsidP="00000000" w:rsidRDefault="00000000" w:rsidRPr="00000000" w14:paraId="00000018">
      <w:pPr>
        <w:pageBreakBefore w:val="0"/>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search the tutorials by specific subject matter or you can progress through them in the order they appear on the actual SAT.</w:t>
      </w:r>
    </w:p>
    <w:p w:rsidR="00000000" w:rsidDel="00000000" w:rsidP="00000000" w:rsidRDefault="00000000" w:rsidRPr="00000000" w14:paraId="00000019">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w:t>
      </w:r>
      <w:hyperlink r:id="rId10">
        <w:r w:rsidDel="00000000" w:rsidR="00000000" w:rsidRPr="00000000">
          <w:rPr>
            <w:rFonts w:ascii="Times New Roman" w:cs="Times New Roman" w:eastAsia="Times New Roman" w:hAnsi="Times New Roman"/>
            <w:b w:val="1"/>
            <w:sz w:val="28"/>
            <w:szCs w:val="28"/>
            <w:rtl w:val="0"/>
          </w:rPr>
          <w:t xml:space="preserve">Complete SAT Calendar</w:t>
        </w:r>
      </w:hyperlink>
      <w:r w:rsidDel="00000000" w:rsidR="00000000" w:rsidRPr="00000000">
        <w:rPr>
          <w:rFonts w:ascii="Times New Roman" w:cs="Times New Roman" w:eastAsia="Times New Roman" w:hAnsi="Times New Roman"/>
          <w:b w:val="1"/>
          <w:sz w:val="28"/>
          <w:szCs w:val="28"/>
          <w:rtl w:val="0"/>
        </w:rPr>
        <w:t xml:space="preserve"> or </w:t>
      </w:r>
      <w:hyperlink r:id="rId11">
        <w:r w:rsidDel="00000000" w:rsidR="00000000" w:rsidRPr="00000000">
          <w:rPr>
            <w:rFonts w:ascii="Times New Roman" w:cs="Times New Roman" w:eastAsia="Times New Roman" w:hAnsi="Times New Roman"/>
            <w:b w:val="1"/>
            <w:sz w:val="28"/>
            <w:szCs w:val="28"/>
            <w:rtl w:val="0"/>
          </w:rPr>
          <w:t xml:space="preserve">Complete ACT Calendar</w:t>
        </w:r>
      </w:hyperlink>
      <w:r w:rsidDel="00000000" w:rsidR="00000000" w:rsidRPr="00000000">
        <w:rPr>
          <w:rtl w:val="0"/>
        </w:rPr>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SAT and ACT are only offered around seven times each school year. </w:t>
      </w:r>
    </w:p>
    <w:p w:rsidR="00000000" w:rsidDel="00000000" w:rsidP="00000000" w:rsidRDefault="00000000" w:rsidRPr="00000000" w14:paraId="0000001E">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dates are generally announced over a year in advance and are confirmed the summer before the school year begins. </w:t>
      </w:r>
    </w:p>
    <w:p w:rsidR="00000000" w:rsidDel="00000000" w:rsidP="00000000" w:rsidRDefault="00000000" w:rsidRPr="00000000" w14:paraId="0000001F">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want to register early for the SAT/ACT so you can get a testing center close to home.  The later you register, the further the distance may be for the testing center.</w:t>
      </w:r>
    </w:p>
    <w:p w:rsidR="00000000" w:rsidDel="00000000" w:rsidP="00000000" w:rsidRDefault="00000000" w:rsidRPr="00000000" w14:paraId="00000020">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You’ll also want to check out registration deadlines and score release dates at </w:t>
      </w:r>
      <w:hyperlink r:id="rId12">
        <w:r w:rsidDel="00000000" w:rsidR="00000000" w:rsidRPr="00000000">
          <w:rPr>
            <w:rFonts w:ascii="Times New Roman" w:cs="Times New Roman" w:eastAsia="Times New Roman" w:hAnsi="Times New Roman"/>
            <w:sz w:val="24"/>
            <w:szCs w:val="24"/>
            <w:rtl w:val="0"/>
          </w:rPr>
          <w:t xml:space="preserve">www.sat.org</w:t>
        </w:r>
      </w:hyperlink>
      <w:r w:rsidDel="00000000" w:rsidR="00000000" w:rsidRPr="00000000">
        <w:rPr>
          <w:rFonts w:ascii="Times New Roman" w:cs="Times New Roman" w:eastAsia="Times New Roman" w:hAnsi="Times New Roman"/>
          <w:sz w:val="24"/>
          <w:szCs w:val="24"/>
          <w:rtl w:val="0"/>
        </w:rPr>
        <w:t xml:space="preserve"> or </w:t>
      </w:r>
      <w:hyperlink r:id="rId13">
        <w:r w:rsidDel="00000000" w:rsidR="00000000" w:rsidRPr="00000000">
          <w:rPr>
            <w:rFonts w:ascii="Times New Roman" w:cs="Times New Roman" w:eastAsia="Times New Roman" w:hAnsi="Times New Roman"/>
            <w:sz w:val="24"/>
            <w:szCs w:val="24"/>
            <w:rtl w:val="0"/>
          </w:rPr>
          <w:t xml:space="preserve">www.act.org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pageBreakBefore w:val="0"/>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important to schedule your tests well in advance so that you can ensure that you take all of the tests you’ll need to apply to the schools you’re interested in, with enough time to receive and send score reports before application deadlines.</w:t>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#6:  </w:t>
      </w:r>
      <w:hyperlink r:id="rId14">
        <w:r w:rsidDel="00000000" w:rsidR="00000000" w:rsidRPr="00000000">
          <w:rPr>
            <w:rFonts w:ascii="Times New Roman" w:cs="Times New Roman" w:eastAsia="Times New Roman" w:hAnsi="Times New Roman"/>
            <w:b w:val="1"/>
            <w:sz w:val="28"/>
            <w:szCs w:val="28"/>
            <w:rtl w:val="0"/>
          </w:rPr>
          <w:t xml:space="preserve">SAT Daily Practice App</w:t>
        </w:r>
      </w:hyperlink>
      <w:r w:rsidDel="00000000" w:rsidR="00000000" w:rsidRPr="00000000">
        <w:rPr>
          <w:rFonts w:ascii="Times New Roman" w:cs="Times New Roman" w:eastAsia="Times New Roman" w:hAnsi="Times New Roman"/>
          <w:b w:val="1"/>
          <w:sz w:val="28"/>
          <w:szCs w:val="28"/>
          <w:rtl w:val="0"/>
        </w:rPr>
        <w:t xml:space="preserve"> and </w:t>
      </w:r>
      <w:hyperlink r:id="rId15">
        <w:r w:rsidDel="00000000" w:rsidR="00000000" w:rsidRPr="00000000">
          <w:rPr>
            <w:rFonts w:ascii="Times New Roman" w:cs="Times New Roman" w:eastAsia="Times New Roman" w:hAnsi="Times New Roman"/>
            <w:b w:val="1"/>
            <w:sz w:val="28"/>
            <w:szCs w:val="28"/>
            <w:rtl w:val="0"/>
          </w:rPr>
          <w:t xml:space="preserve">ACT Question of the Day</w:t>
        </w:r>
      </w:hyperlink>
      <w:r w:rsidDel="00000000" w:rsidR="00000000" w:rsidRPr="00000000">
        <w:rPr>
          <w:rtl w:val="0"/>
        </w:rPr>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pageBreakBefore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SAT daily Practice App can be downloaded to your mobile device and challenges you with one daily question, with the options to reveal a hint if you’re stuck or read answer explanations to learn from your mistakes. The app also provides a handy scan-and-score feature that allows you to scan and score your practice test answer sheet using the camera on your phone. </w:t>
      </w:r>
    </w:p>
    <w:p w:rsidR="00000000" w:rsidDel="00000000" w:rsidP="00000000" w:rsidRDefault="00000000" w:rsidRPr="00000000" w14:paraId="0000002B">
      <w:pPr>
        <w:pageBreakBefore w:val="0"/>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ACT Question of the Day is available through your free, online ACT account and allows you to view questions, answers, and explanations in a weekly email sent to you automatically.</w:t>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w:t>
      </w:r>
      <w:hyperlink r:id="rId16">
        <w:r w:rsidDel="00000000" w:rsidR="00000000" w:rsidRPr="00000000">
          <w:rPr>
            <w:rFonts w:ascii="Times New Roman" w:cs="Times New Roman" w:eastAsia="Times New Roman" w:hAnsi="Times New Roman"/>
            <w:b w:val="1"/>
            <w:sz w:val="28"/>
            <w:szCs w:val="28"/>
            <w:rtl w:val="0"/>
          </w:rPr>
          <w:t xml:space="preserve">Google Calendar</w:t>
        </w:r>
      </w:hyperlink>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ageBreakBefore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Google Calendar is one way to keep track of important dates, deadlines, and events. </w:t>
      </w:r>
    </w:p>
    <w:p w:rsidR="00000000" w:rsidDel="00000000" w:rsidP="00000000" w:rsidRDefault="00000000" w:rsidRPr="00000000" w14:paraId="00000030">
      <w:pPr>
        <w:pageBreakBefore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also syncs across all devices and is easily shareable with others, so you can keep your family and friends informed as well. </w:t>
      </w:r>
    </w:p>
    <w:p w:rsidR="00000000" w:rsidDel="00000000" w:rsidP="00000000" w:rsidRDefault="00000000" w:rsidRPr="00000000" w14:paraId="00000031">
      <w:pPr>
        <w:pageBreakBefore w:val="0"/>
        <w:numPr>
          <w:ilvl w:val="0"/>
          <w:numId w:val="12"/>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alerts or notifications to make sure you don’t forget important deadlines.</w:t>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#8:  </w:t>
      </w:r>
      <w:hyperlink r:id="rId17">
        <w:r w:rsidDel="00000000" w:rsidR="00000000" w:rsidRPr="00000000">
          <w:rPr>
            <w:rFonts w:ascii="Times New Roman" w:cs="Times New Roman" w:eastAsia="Times New Roman" w:hAnsi="Times New Roman"/>
            <w:b w:val="1"/>
            <w:sz w:val="28"/>
            <w:szCs w:val="28"/>
            <w:rtl w:val="0"/>
          </w:rPr>
          <w:t xml:space="preserve">10 Considerations for Making Your College List</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pageBreakBefore w:val="0"/>
        <w:numPr>
          <w:ilvl w:val="0"/>
          <w:numId w:val="6"/>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you’re just getting started with creating a college list, it’s hard to know where to begin. This list includes ten top considerations that should get you thinking about your priorities in choosing a college. </w:t>
      </w:r>
    </w:p>
    <w:p w:rsidR="00000000" w:rsidDel="00000000" w:rsidP="00000000" w:rsidRDefault="00000000" w:rsidRPr="00000000" w14:paraId="00000037">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begin"/>
        <w:instrText xml:space="preserve"> HYPERLINK "https://blog.collegevine.com/10-considerations-for-making-your-college-list/#Take_a_Critical_Look_at_Your_Overall_Profile" </w:instrText>
        <w:fldChar w:fldCharType="separate"/>
      </w:r>
      <w:r w:rsidDel="00000000" w:rsidR="00000000" w:rsidRPr="00000000">
        <w:rPr>
          <w:rFonts w:ascii="Times New Roman" w:cs="Times New Roman" w:eastAsia="Times New Roman" w:hAnsi="Times New Roman"/>
          <w:sz w:val="24"/>
          <w:szCs w:val="24"/>
          <w:rtl w:val="0"/>
        </w:rPr>
        <w:t xml:space="preserve">Take a Critical Look at Your Overall Profile</w:t>
      </w:r>
    </w:p>
    <w:p w:rsidR="00000000" w:rsidDel="00000000" w:rsidP="00000000" w:rsidRDefault="00000000" w:rsidRPr="00000000" w14:paraId="00000038">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end"/>
      </w:r>
      <w:r w:rsidDel="00000000" w:rsidR="00000000" w:rsidRPr="00000000">
        <w:fldChar w:fldCharType="begin"/>
        <w:instrText xml:space="preserve"> HYPERLINK "https://blog.collegevine.com/10-considerations-for-making-your-college-list/#Think_About_Region" </w:instrText>
        <w:fldChar w:fldCharType="separate"/>
      </w:r>
      <w:r w:rsidDel="00000000" w:rsidR="00000000" w:rsidRPr="00000000">
        <w:rPr>
          <w:rFonts w:ascii="Times New Roman" w:cs="Times New Roman" w:eastAsia="Times New Roman" w:hAnsi="Times New Roman"/>
          <w:sz w:val="24"/>
          <w:szCs w:val="24"/>
          <w:rtl w:val="0"/>
        </w:rPr>
        <w:t xml:space="preserve">Think About Region</w:t>
      </w:r>
    </w:p>
    <w:p w:rsidR="00000000" w:rsidDel="00000000" w:rsidP="00000000" w:rsidRDefault="00000000" w:rsidRPr="00000000" w14:paraId="00000039">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end"/>
      </w:r>
      <w:r w:rsidDel="00000000" w:rsidR="00000000" w:rsidRPr="00000000">
        <w:fldChar w:fldCharType="begin"/>
        <w:instrText xml:space="preserve"> HYPERLINK "https://blog.collegevine.com/10-considerations-for-making-your-college-list/#Think_About_Setting" </w:instrText>
        <w:fldChar w:fldCharType="separate"/>
      </w:r>
      <w:r w:rsidDel="00000000" w:rsidR="00000000" w:rsidRPr="00000000">
        <w:rPr>
          <w:rFonts w:ascii="Times New Roman" w:cs="Times New Roman" w:eastAsia="Times New Roman" w:hAnsi="Times New Roman"/>
          <w:sz w:val="24"/>
          <w:szCs w:val="24"/>
          <w:rtl w:val="0"/>
        </w:rPr>
        <w:t xml:space="preserve">Think About Setting </w:t>
      </w:r>
    </w:p>
    <w:p w:rsidR="00000000" w:rsidDel="00000000" w:rsidP="00000000" w:rsidRDefault="00000000" w:rsidRPr="00000000" w14:paraId="0000003A">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end"/>
      </w:r>
      <w:r w:rsidDel="00000000" w:rsidR="00000000" w:rsidRPr="00000000">
        <w:fldChar w:fldCharType="begin"/>
        <w:instrText xml:space="preserve"> HYPERLINK "https://blog.collegevine.com/10-considerations-for-making-your-college-list/#Review_Departments_and_Programs_in_Your_Areas_of_Interest" </w:instrText>
        <w:fldChar w:fldCharType="separate"/>
      </w:r>
      <w:r w:rsidDel="00000000" w:rsidR="00000000" w:rsidRPr="00000000">
        <w:rPr>
          <w:rFonts w:ascii="Times New Roman" w:cs="Times New Roman" w:eastAsia="Times New Roman" w:hAnsi="Times New Roman"/>
          <w:sz w:val="24"/>
          <w:szCs w:val="24"/>
          <w:rtl w:val="0"/>
        </w:rPr>
        <w:t xml:space="preserve">Review Departments and Programs in Your Areas of Interest</w:t>
      </w:r>
    </w:p>
    <w:p w:rsidR="00000000" w:rsidDel="00000000" w:rsidP="00000000" w:rsidRDefault="00000000" w:rsidRPr="00000000" w14:paraId="0000003B">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end"/>
      </w:r>
      <w:r w:rsidDel="00000000" w:rsidR="00000000" w:rsidRPr="00000000">
        <w:fldChar w:fldCharType="begin"/>
        <w:instrText xml:space="preserve"> HYPERLINK "https://blog.collegevine.com/10-considerations-for-making-your-college-list/#Consider_Selectivity" </w:instrText>
        <w:fldChar w:fldCharType="separate"/>
      </w:r>
      <w:r w:rsidDel="00000000" w:rsidR="00000000" w:rsidRPr="00000000">
        <w:rPr>
          <w:rFonts w:ascii="Times New Roman" w:cs="Times New Roman" w:eastAsia="Times New Roman" w:hAnsi="Times New Roman"/>
          <w:sz w:val="24"/>
          <w:szCs w:val="24"/>
          <w:rtl w:val="0"/>
        </w:rPr>
        <w:t xml:space="preserve">Consider Selectivity</w:t>
      </w:r>
    </w:p>
    <w:p w:rsidR="00000000" w:rsidDel="00000000" w:rsidP="00000000" w:rsidRDefault="00000000" w:rsidRPr="00000000" w14:paraId="0000003C">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end"/>
      </w:r>
      <w:r w:rsidDel="00000000" w:rsidR="00000000" w:rsidRPr="00000000">
        <w:fldChar w:fldCharType="begin"/>
        <w:instrText xml:space="preserve"> HYPERLINK "https://blog.collegevine.com/10-considerations-for-making-your-college-list/#Working_on_your_college_applications" </w:instrText>
        <w:fldChar w:fldCharType="separate"/>
      </w:r>
      <w:r w:rsidDel="00000000" w:rsidR="00000000" w:rsidRPr="00000000">
        <w:rPr>
          <w:rFonts w:ascii="Times New Roman" w:cs="Times New Roman" w:eastAsia="Times New Roman" w:hAnsi="Times New Roman"/>
          <w:sz w:val="24"/>
          <w:szCs w:val="24"/>
          <w:rtl w:val="0"/>
        </w:rPr>
        <w:t xml:space="preserve">Working on your college applications?</w:t>
      </w:r>
    </w:p>
    <w:p w:rsidR="00000000" w:rsidDel="00000000" w:rsidP="00000000" w:rsidRDefault="00000000" w:rsidRPr="00000000" w14:paraId="0000003D">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end"/>
      </w:r>
      <w:r w:rsidDel="00000000" w:rsidR="00000000" w:rsidRPr="00000000">
        <w:fldChar w:fldCharType="begin"/>
        <w:instrText xml:space="preserve"> HYPERLINK "https://blog.collegevine.com/10-considerations-for-making-your-college-list/#Search_for_Important_Extracurriculars_or_Support_Resources" </w:instrText>
        <w:fldChar w:fldCharType="separate"/>
      </w:r>
      <w:r w:rsidDel="00000000" w:rsidR="00000000" w:rsidRPr="00000000">
        <w:rPr>
          <w:rFonts w:ascii="Times New Roman" w:cs="Times New Roman" w:eastAsia="Times New Roman" w:hAnsi="Times New Roman"/>
          <w:sz w:val="24"/>
          <w:szCs w:val="24"/>
          <w:rtl w:val="0"/>
        </w:rPr>
        <w:t xml:space="preserve">Search for Important Extracurriculars or Support Resources</w:t>
      </w:r>
    </w:p>
    <w:p w:rsidR="00000000" w:rsidDel="00000000" w:rsidP="00000000" w:rsidRDefault="00000000" w:rsidRPr="00000000" w14:paraId="0000003E">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end"/>
      </w:r>
      <w:r w:rsidDel="00000000" w:rsidR="00000000" w:rsidRPr="00000000">
        <w:fldChar w:fldCharType="begin"/>
        <w:instrText xml:space="preserve"> HYPERLINK "https://blog.collegevine.com/10-considerations-for-making-your-college-list/#Plan_Finances" </w:instrText>
        <w:fldChar w:fldCharType="separate"/>
      </w:r>
      <w:r w:rsidDel="00000000" w:rsidR="00000000" w:rsidRPr="00000000">
        <w:rPr>
          <w:rFonts w:ascii="Times New Roman" w:cs="Times New Roman" w:eastAsia="Times New Roman" w:hAnsi="Times New Roman"/>
          <w:sz w:val="24"/>
          <w:szCs w:val="24"/>
          <w:rtl w:val="0"/>
        </w:rPr>
        <w:t xml:space="preserve">Plan Finances</w:t>
      </w:r>
    </w:p>
    <w:p w:rsidR="00000000" w:rsidDel="00000000" w:rsidP="00000000" w:rsidRDefault="00000000" w:rsidRPr="00000000" w14:paraId="0000003F">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end"/>
      </w:r>
      <w:r w:rsidDel="00000000" w:rsidR="00000000" w:rsidRPr="00000000">
        <w:fldChar w:fldCharType="begin"/>
        <w:instrText xml:space="preserve"> HYPERLINK "https://blog.collegevine.com/10-considerations-for-making-your-college-list/#Consider_Size_of_the_School" </w:instrText>
        <w:fldChar w:fldCharType="separate"/>
      </w:r>
      <w:r w:rsidDel="00000000" w:rsidR="00000000" w:rsidRPr="00000000">
        <w:rPr>
          <w:rFonts w:ascii="Times New Roman" w:cs="Times New Roman" w:eastAsia="Times New Roman" w:hAnsi="Times New Roman"/>
          <w:sz w:val="24"/>
          <w:szCs w:val="24"/>
          <w:rtl w:val="0"/>
        </w:rPr>
        <w:t xml:space="preserve">Consider Size of the School</w:t>
      </w:r>
    </w:p>
    <w:p w:rsidR="00000000" w:rsidDel="00000000" w:rsidP="00000000" w:rsidRDefault="00000000" w:rsidRPr="00000000" w14:paraId="00000040">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end"/>
      </w:r>
      <w:r w:rsidDel="00000000" w:rsidR="00000000" w:rsidRPr="00000000">
        <w:fldChar w:fldCharType="begin"/>
        <w:instrText xml:space="preserve"> HYPERLINK "https://blog.collegevine.com/10-considerations-for-making-your-college-list/#Consider_Campus_Life" </w:instrText>
        <w:fldChar w:fldCharType="separate"/>
      </w:r>
      <w:r w:rsidDel="00000000" w:rsidR="00000000" w:rsidRPr="00000000">
        <w:rPr>
          <w:rFonts w:ascii="Times New Roman" w:cs="Times New Roman" w:eastAsia="Times New Roman" w:hAnsi="Times New Roman"/>
          <w:sz w:val="24"/>
          <w:szCs w:val="24"/>
          <w:rtl w:val="0"/>
        </w:rPr>
        <w:t xml:space="preserve">Consider Campus Life</w:t>
      </w:r>
    </w:p>
    <w:p w:rsidR="00000000" w:rsidDel="00000000" w:rsidP="00000000" w:rsidRDefault="00000000" w:rsidRPr="00000000" w14:paraId="00000041">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end"/>
      </w:r>
      <w:r w:rsidDel="00000000" w:rsidR="00000000" w:rsidRPr="00000000">
        <w:fldChar w:fldCharType="begin"/>
        <w:instrText xml:space="preserve"> HYPERLINK "https://blog.collegevine.com/10-considerations-for-making-your-college-list/#Share_and_Discuss_Your_List" </w:instrText>
        <w:fldChar w:fldCharType="separate"/>
      </w:r>
      <w:r w:rsidDel="00000000" w:rsidR="00000000" w:rsidRPr="00000000">
        <w:rPr>
          <w:rFonts w:ascii="Times New Roman" w:cs="Times New Roman" w:eastAsia="Times New Roman" w:hAnsi="Times New Roman"/>
          <w:sz w:val="24"/>
          <w:szCs w:val="24"/>
          <w:rtl w:val="0"/>
        </w:rPr>
        <w:t xml:space="preserve">Share and Discuss Your List</w:t>
      </w:r>
    </w:p>
    <w:p w:rsidR="00000000" w:rsidDel="00000000" w:rsidP="00000000" w:rsidRDefault="00000000" w:rsidRPr="00000000" w14:paraId="00000042">
      <w:pPr>
        <w:pageBreakBefore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1440" w:hanging="360"/>
        <w:rPr>
          <w:rFonts w:ascii="Times New Roman" w:cs="Times New Roman" w:eastAsia="Times New Roman" w:hAnsi="Times New Roman"/>
          <w:color w:val="000000"/>
        </w:rPr>
      </w:pPr>
      <w:r w:rsidDel="00000000" w:rsidR="00000000" w:rsidRPr="00000000">
        <w:fldChar w:fldCharType="end"/>
      </w:r>
      <w:hyperlink r:id="rId18">
        <w:r w:rsidDel="00000000" w:rsidR="00000000" w:rsidRPr="00000000">
          <w:rPr>
            <w:rFonts w:ascii="Times New Roman" w:cs="Times New Roman" w:eastAsia="Times New Roman" w:hAnsi="Times New Roman"/>
            <w:sz w:val="24"/>
            <w:szCs w:val="24"/>
            <w:rtl w:val="0"/>
          </w:rPr>
          <w:t xml:space="preserve">Want more college admissions tips?</w:t>
        </w:r>
      </w:hyperlink>
      <w:r w:rsidDel="00000000" w:rsidR="00000000" w:rsidRPr="00000000">
        <w:rPr>
          <w:rtl w:val="0"/>
        </w:rPr>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  Online Campus Tours</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pageBreakBefore w:val="0"/>
        <w:numPr>
          <w:ilvl w:val="0"/>
          <w:numId w:val="13"/>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Instead of touring every campus that you’re interested in, you should consider starting with an online campus tour. One popular site providing this service is </w:t>
      </w:r>
      <w:hyperlink r:id="rId19">
        <w:r w:rsidDel="00000000" w:rsidR="00000000" w:rsidRPr="00000000">
          <w:rPr>
            <w:rFonts w:ascii="Times New Roman" w:cs="Times New Roman" w:eastAsia="Times New Roman" w:hAnsi="Times New Roman"/>
            <w:sz w:val="24"/>
            <w:szCs w:val="24"/>
            <w:rtl w:val="0"/>
          </w:rPr>
          <w:t xml:space="preserve">ecampustours</w:t>
        </w:r>
      </w:hyperlink>
      <w:r w:rsidDel="00000000" w:rsidR="00000000" w:rsidRPr="00000000">
        <w:rPr>
          <w:rFonts w:ascii="Times New Roman" w:cs="Times New Roman" w:eastAsia="Times New Roman" w:hAnsi="Times New Roman"/>
          <w:sz w:val="24"/>
          <w:szCs w:val="24"/>
          <w:rtl w:val="0"/>
        </w:rPr>
        <w:t xml:space="preserve">.com. Here, you’ll find a virtual tour of over 1,300 colleges searchable by state.</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College Fairs</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pageBreakBefore w:val="0"/>
        <w:numPr>
          <w:ilvl w:val="0"/>
          <w:numId w:val="7"/>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efficient way to gather more information about multiple colleges is to attend a college fair. These events typically feature representatives from a broad variety of undergraduate institutions.</w:t>
      </w:r>
    </w:p>
    <w:p w:rsidR="00000000" w:rsidDel="00000000" w:rsidP="00000000" w:rsidRDefault="00000000" w:rsidRPr="00000000" w14:paraId="0000004C">
      <w:pPr>
        <w:pageBreakBefore w:val="0"/>
        <w:numPr>
          <w:ilvl w:val="0"/>
          <w:numId w:val="7"/>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ask questions about each school’s programs, campus, and student life. </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Get to Know your Guidance Counselor or Adviser</w:t>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junior year is a time to arrange a meeting to discuss your plans for the future. </w:t>
      </w:r>
    </w:p>
    <w:p w:rsidR="00000000" w:rsidDel="00000000" w:rsidP="00000000" w:rsidRDefault="00000000" w:rsidRPr="00000000" w14:paraId="00000055">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should keep your counselor/adviser informed about your plans for the future. </w:t>
      </w:r>
    </w:p>
    <w:p w:rsidR="00000000" w:rsidDel="00000000" w:rsidP="00000000" w:rsidRDefault="00000000" w:rsidRPr="00000000" w14:paraId="00000056">
      <w:pPr>
        <w:pageBreakBefore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He/she may have important test dates, scholarships, or other important information to share with you.</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How to Get College Recommendation Letters</w:t>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pageBreakBefore w:val="0"/>
        <w:numPr>
          <w:ilvl w:val="0"/>
          <w:numId w:val="2"/>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need to start thinking early about who will write your college recommendation letters. Ideally, your recommender will be someone who has known you well over a prolonged period of time.</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Essay Editing</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pageBreakBefore w:val="0"/>
        <w:numPr>
          <w:ilvl w:val="0"/>
          <w:numId w:val="1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 begin to think about and draft your college application essay, you’ll also need to think about someone who is qualified to help you edit your drafts,</w:t>
      </w:r>
      <w:r w:rsidDel="00000000" w:rsidR="00000000" w:rsidRPr="00000000">
        <w:rPr>
          <w:rtl w:val="0"/>
        </w:rPr>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#14:  </w:t>
      </w:r>
      <w:hyperlink r:id="rId20">
        <w:r w:rsidDel="00000000" w:rsidR="00000000" w:rsidRPr="00000000">
          <w:rPr>
            <w:rFonts w:ascii="Times New Roman" w:cs="Times New Roman" w:eastAsia="Times New Roman" w:hAnsi="Times New Roman"/>
            <w:b w:val="1"/>
            <w:sz w:val="28"/>
            <w:szCs w:val="28"/>
            <w:rtl w:val="0"/>
          </w:rPr>
          <w:t xml:space="preserve">Federal Student Aid</w:t>
        </w:r>
      </w:hyperlink>
      <w:r w:rsidDel="00000000" w:rsidR="00000000" w:rsidRPr="00000000">
        <w:rPr>
          <w:rtl w:val="0"/>
        </w:rPr>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pageBreakBefore w:val="0"/>
        <w:numPr>
          <w:ilvl w:val="0"/>
          <w:numId w:val="14"/>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Federal Student Aid agency is an office of the U.S. Department of Education. It provides information about the types of aid available to students, how to apply for aid, and how to manage student loans. </w:t>
      </w:r>
    </w:p>
    <w:p w:rsidR="00000000" w:rsidDel="00000000" w:rsidP="00000000" w:rsidRDefault="00000000" w:rsidRPr="00000000" w14:paraId="00000065">
      <w:pPr>
        <w:pageBreakBefore w:val="0"/>
        <w:numPr>
          <w:ilvl w:val="0"/>
          <w:numId w:val="14"/>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t>
      </w:r>
      <w:hyperlink r:id="rId21">
        <w:r w:rsidDel="00000000" w:rsidR="00000000" w:rsidRPr="00000000">
          <w:rPr>
            <w:rFonts w:ascii="Times New Roman" w:cs="Times New Roman" w:eastAsia="Times New Roman" w:hAnsi="Times New Roman"/>
            <w:b w:val="1"/>
            <w:sz w:val="24"/>
            <w:szCs w:val="24"/>
            <w:rtl w:val="0"/>
          </w:rPr>
          <w:t xml:space="preserve">Free Application for Federal Student Aid</w:t>
        </w:r>
      </w:hyperlink>
      <w:r w:rsidDel="00000000" w:rsidR="00000000" w:rsidRPr="00000000">
        <w:rPr>
          <w:rFonts w:ascii="Times New Roman" w:cs="Times New Roman" w:eastAsia="Times New Roman" w:hAnsi="Times New Roman"/>
          <w:sz w:val="24"/>
          <w:szCs w:val="24"/>
          <w:rtl w:val="0"/>
        </w:rPr>
        <w:t xml:space="preserve"> (FAFSA) is the first step towards securing need-based financial aid towards college. You can read more about the process for applying in.</w:t>
      </w:r>
    </w:p>
    <w:p w:rsidR="00000000" w:rsidDel="00000000" w:rsidP="00000000" w:rsidRDefault="00000000" w:rsidRPr="00000000" w14:paraId="00000066">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  Scholarship Search Engines</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numPr>
          <w:ilvl w:val="0"/>
          <w:numId w:val="16"/>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aid isn’t the only way to finance your college education. </w:t>
      </w:r>
    </w:p>
    <w:p w:rsidR="00000000" w:rsidDel="00000000" w:rsidP="00000000" w:rsidRDefault="00000000" w:rsidRPr="00000000" w14:paraId="0000006B">
      <w:pPr>
        <w:pageBreakBefore w:val="0"/>
        <w:numPr>
          <w:ilvl w:val="0"/>
          <w:numId w:val="16"/>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also get funding through merit- or need-based scholarships. </w:t>
      </w:r>
    </w:p>
    <w:p w:rsidR="00000000" w:rsidDel="00000000" w:rsidP="00000000" w:rsidRDefault="00000000" w:rsidRPr="00000000" w14:paraId="0000006C">
      <w:pPr>
        <w:pageBreakBefore w:val="0"/>
        <w:numPr>
          <w:ilvl w:val="0"/>
          <w:numId w:val="16"/>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online search providers exist for collecting information about possible scholarships. </w:t>
      </w:r>
      <w:hyperlink r:id="rId22">
        <w:r w:rsidDel="00000000" w:rsidR="00000000" w:rsidRPr="00000000">
          <w:rPr>
            <w:rFonts w:ascii="Times New Roman" w:cs="Times New Roman" w:eastAsia="Times New Roman" w:hAnsi="Times New Roman"/>
            <w:b w:val="1"/>
            <w:sz w:val="24"/>
            <w:szCs w:val="24"/>
            <w:rtl w:val="0"/>
          </w:rPr>
          <w:t xml:space="preserve">Fastweb</w:t>
        </w:r>
      </w:hyperlink>
      <w:r w:rsidDel="00000000" w:rsidR="00000000" w:rsidRPr="00000000">
        <w:rPr>
          <w:rFonts w:ascii="Times New Roman" w:cs="Times New Roman" w:eastAsia="Times New Roman" w:hAnsi="Times New Roman"/>
          <w:sz w:val="24"/>
          <w:szCs w:val="24"/>
          <w:rtl w:val="0"/>
        </w:rPr>
        <w:t xml:space="preserve"> provides one of the most comprehensive options with access over 1.5 million scholarships to help you pay for college.</w:t>
      </w:r>
    </w:p>
    <w:p w:rsidR="00000000" w:rsidDel="00000000" w:rsidP="00000000" w:rsidRDefault="00000000" w:rsidRPr="00000000" w14:paraId="0000006D">
      <w:pPr>
        <w:pageBreakBefore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E">
      <w:pPr>
        <w:pageBreakBefore w:val="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#16:  Monitor high school credits</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0">
      <w:pPr>
        <w:pageBreakBefore w:val="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pageBreakBefore w:val="0"/>
        <w:numPr>
          <w:ilvl w:val="0"/>
          <w:numId w:val="1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sure you meet all local and state requirements for credits and STAAR EOC (US History). If you did not meet the EOC requirement, retake the test in the summer.</w:t>
      </w:r>
    </w:p>
    <w:p w:rsidR="00000000" w:rsidDel="00000000" w:rsidP="00000000" w:rsidRDefault="00000000" w:rsidRPr="00000000" w14:paraId="00000072">
      <w:pPr>
        <w:pageBreakBefore w:val="0"/>
        <w:numPr>
          <w:ilvl w:val="0"/>
          <w:numId w:val="15"/>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Make sure you earned your credits for the school year.</w:t>
        <w:br w:type="textWrapping"/>
        <w:t xml:space="preserve">* All STAAR/EOC tests/requirements must be passed/met to graduate as well as course credits.</w:t>
      </w:r>
    </w:p>
    <w:p w:rsidR="00000000" w:rsidDel="00000000" w:rsidP="00000000" w:rsidRDefault="00000000" w:rsidRPr="00000000" w14:paraId="00000073">
      <w:pPr>
        <w:pageBreakBefore w:val="0"/>
        <w:rPr/>
      </w:pPr>
      <w:r w:rsidDel="00000000" w:rsidR="00000000" w:rsidRPr="00000000">
        <w:rPr>
          <w:rtl w:val="0"/>
        </w:rPr>
      </w:r>
    </w:p>
    <w:sectPr>
      <w:pgSz w:h="15840" w:w="12240" w:orient="portrait"/>
      <w:pgMar w:bottom="360" w:top="360" w:left="360" w:right="36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imelight">
    <w:embedRegular w:fontKey="{00000000-0000-0000-0000-000000000000}" r:id="rId1" w:subsetted="0"/>
  </w:font>
  <w:font w:name="Playfair Display">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rFonts w:ascii="Playfair Display" w:cs="Playfair Display" w:eastAsia="Playfair Display" w:hAnsi="Playfair Display"/>
        <w:b w:val="0"/>
        <w:color w:val="555555"/>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studentaid.ed.gov/sa/" TargetMode="External"/><Relationship Id="rId11" Type="http://schemas.openxmlformats.org/officeDocument/2006/relationships/hyperlink" Target="http://www.act.org/content/act/en/products-and-services/the-act/registration.html" TargetMode="External"/><Relationship Id="rId22" Type="http://schemas.openxmlformats.org/officeDocument/2006/relationships/hyperlink" Target="http://www.fastweb.com/" TargetMode="External"/><Relationship Id="rId10" Type="http://schemas.openxmlformats.org/officeDocument/2006/relationships/hyperlink" Target="https://blog.collegevine.com/complete-calendar-of-2017-sat-test-administration-dates/" TargetMode="External"/><Relationship Id="rId21" Type="http://schemas.openxmlformats.org/officeDocument/2006/relationships/hyperlink" Target="https://studentaid.ed.gov/sa/fafsa" TargetMode="External"/><Relationship Id="rId13" Type="http://schemas.openxmlformats.org/officeDocument/2006/relationships/hyperlink" Target="http://www.act.org" TargetMode="External"/><Relationship Id="rId12" Type="http://schemas.openxmlformats.org/officeDocument/2006/relationships/hyperlink" Target="http://www.sat.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hanacademy.org/sat" TargetMode="External"/><Relationship Id="rId15" Type="http://schemas.openxmlformats.org/officeDocument/2006/relationships/hyperlink" Target="http://www.act.org/content/act/en/products-and-services/the-act/test-preparation.html" TargetMode="External"/><Relationship Id="rId14" Type="http://schemas.openxmlformats.org/officeDocument/2006/relationships/hyperlink" Target="https://collegereadiness.collegeboard.org/sat/practice/daily-practice-app" TargetMode="External"/><Relationship Id="rId17" Type="http://schemas.openxmlformats.org/officeDocument/2006/relationships/hyperlink" Target="https://blog.collegevine.com/10-considerations-for-making-your-college-list/" TargetMode="External"/><Relationship Id="rId16" Type="http://schemas.openxmlformats.org/officeDocument/2006/relationships/hyperlink" Target="https://calendar.google.com/calendar" TargetMode="External"/><Relationship Id="rId5" Type="http://schemas.openxmlformats.org/officeDocument/2006/relationships/styles" Target="styles.xml"/><Relationship Id="rId19" Type="http://schemas.openxmlformats.org/officeDocument/2006/relationships/hyperlink" Target="http://ecampustours.com/" TargetMode="External"/><Relationship Id="rId6" Type="http://schemas.openxmlformats.org/officeDocument/2006/relationships/hyperlink" Target="https://quizlet.com/" TargetMode="External"/><Relationship Id="rId18" Type="http://schemas.openxmlformats.org/officeDocument/2006/relationships/hyperlink" Target="https://blog.collegevine.com/10-considerations-for-making-your-college-list/#Want_more_college_admissions_tips" TargetMode="External"/><Relationship Id="rId7" Type="http://schemas.openxmlformats.org/officeDocument/2006/relationships/hyperlink" Target="http://act.org/" TargetMode="External"/><Relationship Id="rId8" Type="http://schemas.openxmlformats.org/officeDocument/2006/relationships/hyperlink" Target="http://sat.collegeboar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imelight-regular.ttf"/><Relationship Id="rId2" Type="http://schemas.openxmlformats.org/officeDocument/2006/relationships/font" Target="fonts/PlayfairDisplay-regular.ttf"/><Relationship Id="rId3" Type="http://schemas.openxmlformats.org/officeDocument/2006/relationships/font" Target="fonts/PlayfairDisplay-bold.ttf"/><Relationship Id="rId4" Type="http://schemas.openxmlformats.org/officeDocument/2006/relationships/font" Target="fonts/PlayfairDisplay-italic.ttf"/><Relationship Id="rId5"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